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第五条考生不遵守考场纪律，不服从考试工作人员的安排与要求，有下列行为之一的，应当认定为考试违纪: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第六条考生违背考试公平、公正原则，在考试过程中有下列行为之一的，应当认定为考试作弊: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第七条教育考试机构、考试工作人员在考试过程中或者在考试结束后发现下列行为之一的，应当认定相关的考生实施了考试作弊行为: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第八条考生及其他人员应当自觉维护考试工作场所的秩序，服从考试工作人员的管理，不得有下列扰乱考场及考试工作场所秩序的行为: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第九条考生有第五条所列考试违纪行为之一的，取消该科目的考试成绩。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第十二条在校学生、在职教师有下列情形之一的，教育考试机构应当通报其所在学校，由学校根据有关规定严肃处理，直至开除学籍或者予以解聘: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关于办理组织考试作弊等刑事案件适用法律若干问题的解释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color w:val="222222"/>
          <w:spacing w:val="5"/>
          <w:sz w:val="14"/>
          <w:szCs w:val="14"/>
        </w:rPr>
      </w:pPr>
      <w:r>
        <w:rPr>
          <w:rFonts w:hint="eastAsia" w:ascii="Microsoft YaHei UI" w:hAnsi="Microsoft YaHei UI" w:eastAsia="Microsoft YaHei UI" w:cs="Microsoft YaHei UI"/>
          <w:i w:val="0"/>
          <w:iCs w:val="0"/>
          <w:caps w:val="0"/>
          <w:color w:val="222222"/>
          <w:spacing w:val="5"/>
          <w:sz w:val="14"/>
          <w:szCs w:val="14"/>
          <w:bdr w:val="none" w:color="auto" w:sz="0" w:space="0"/>
          <w:shd w:val="clear" w:fill="FFFFFF"/>
        </w:rPr>
        <w:t>第十四条 本解释自2019年9月4日起施行。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50B1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2022-11-26T03:43:04Z</dcterms:created>
  <dc:creator>19219</dc:creator>
  <cp:lastModifiedBy>J</cp:lastModifiedBy>
  <dcterms:modified xsi:type="dcterms:W3CDTF">2022-11-26T03:43:14Z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CB5D914289964E21B9AA929CAAB5DEBF</vt:lpwstr>
  </property>
</Properties>
</file>